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1D" w:rsidRDefault="008D751D" w:rsidP="008D751D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Modalità di svolgimento dell’esercitazione in azienda</w:t>
      </w:r>
    </w:p>
    <w:p w:rsidR="008D751D" w:rsidRDefault="008D751D" w:rsidP="008D751D">
      <w:pPr>
        <w:spacing w:after="0" w:line="240" w:lineRule="auto"/>
        <w:jc w:val="both"/>
        <w:rPr>
          <w:sz w:val="18"/>
          <w:szCs w:val="18"/>
        </w:rPr>
      </w:pPr>
    </w:p>
    <w:p w:rsidR="008D751D" w:rsidRDefault="008D751D" w:rsidP="008D751D">
      <w:pPr>
        <w:pStyle w:val="Paragrafoelenco"/>
        <w:numPr>
          <w:ilvl w:val="0"/>
          <w:numId w:val="19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L’esercitazione in azienda rientra nelle 12 ore di formazione iniziale che, per espressa previsione di legge (art. 37, comma 11, del Decreto Legislativo n. 81/2008), devono essere dedicate ai rischi specifici presenti nell’impresa di appartenenza dell’RLS e rappresenta una sorta di naturale complemento dei Moduli 4 e 5.</w:t>
      </w:r>
    </w:p>
    <w:p w:rsidR="008D751D" w:rsidRDefault="008D751D" w:rsidP="008D751D">
      <w:pPr>
        <w:pStyle w:val="Paragrafoelenco"/>
        <w:spacing w:after="0"/>
        <w:ind w:left="284"/>
        <w:jc w:val="both"/>
        <w:rPr>
          <w:sz w:val="6"/>
          <w:szCs w:val="6"/>
        </w:rPr>
      </w:pPr>
    </w:p>
    <w:p w:rsidR="008D751D" w:rsidRDefault="008D751D" w:rsidP="008D751D">
      <w:pPr>
        <w:spacing w:after="0"/>
        <w:jc w:val="both"/>
        <w:rPr>
          <w:sz w:val="6"/>
          <w:szCs w:val="6"/>
        </w:rPr>
      </w:pPr>
    </w:p>
    <w:p w:rsidR="008D751D" w:rsidRDefault="008D751D" w:rsidP="008D751D">
      <w:pPr>
        <w:pStyle w:val="Paragrafoelenco"/>
        <w:numPr>
          <w:ilvl w:val="0"/>
          <w:numId w:val="19"/>
        </w:numPr>
        <w:spacing w:after="0"/>
        <w:ind w:lef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L’esercitazione è finalizzata a fornire all’RLS un percorso di lettura semplificato e personalizzabile del DVR aziendale, attraverso la compilazione dell’allegata </w:t>
      </w:r>
      <w:r>
        <w:rPr>
          <w:i/>
          <w:sz w:val="24"/>
          <w:szCs w:val="24"/>
        </w:rPr>
        <w:t>“Check list fattori di rischio</w:t>
      </w:r>
      <w:r>
        <w:rPr>
          <w:i/>
          <w:sz w:val="24"/>
          <w:szCs w:val="24"/>
        </w:rPr>
        <w:t xml:space="preserve"> (allegato B)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D751D" w:rsidRDefault="008D751D" w:rsidP="008D751D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concreto, nel corso dell’esercitazione con il datore di lavoro (o suo delegato) e/o con l’RSPP, l’RLS evidenzia nella </w:t>
      </w:r>
      <w:r>
        <w:rPr>
          <w:i/>
          <w:sz w:val="24"/>
          <w:szCs w:val="24"/>
        </w:rPr>
        <w:t>Check list</w:t>
      </w:r>
      <w:r>
        <w:rPr>
          <w:sz w:val="24"/>
          <w:szCs w:val="24"/>
        </w:rPr>
        <w:t xml:space="preserve"> i fattori di rischio presenti in azienda e le misure di prevenzione e protezione adottate in corrispondenza di ciascuno di essi, con la possibilità di annotare a margine, nell’apposito spazio, altri elementi di eventuale interesse (*).  La logica di fondo è quella di dotare l’RLS di uno strumento che gli consenta di affinare gli elementi di conoscenza acquisiti</w:t>
      </w:r>
      <w:r>
        <w:rPr>
          <w:sz w:val="24"/>
          <w:szCs w:val="24"/>
        </w:rPr>
        <w:t xml:space="preserve"> nel corso</w:t>
      </w:r>
      <w:r>
        <w:rPr>
          <w:sz w:val="24"/>
          <w:szCs w:val="24"/>
        </w:rPr>
        <w:t xml:space="preserve"> alla luce dei dati contenuti nel DVR aziendale e, nel contempo, di rendere questi ultimi più facilmente comprensibili.</w:t>
      </w:r>
    </w:p>
    <w:p w:rsidR="008D751D" w:rsidRDefault="008D751D" w:rsidP="008D751D">
      <w:pPr>
        <w:spacing w:after="0"/>
        <w:jc w:val="both"/>
        <w:rPr>
          <w:sz w:val="6"/>
          <w:szCs w:val="6"/>
        </w:rPr>
      </w:pPr>
    </w:p>
    <w:p w:rsidR="008D751D" w:rsidRDefault="008D751D" w:rsidP="008D751D">
      <w:pPr>
        <w:pStyle w:val="Paragrafoelenco"/>
        <w:numPr>
          <w:ilvl w:val="0"/>
          <w:numId w:val="20"/>
        </w:numPr>
        <w:spacing w:after="0"/>
        <w:ind w:left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Al termine dell’esercitazione, la </w:t>
      </w:r>
      <w:r>
        <w:rPr>
          <w:i/>
          <w:sz w:val="24"/>
          <w:szCs w:val="24"/>
        </w:rPr>
        <w:t>“Check list fattori di rischio</w:t>
      </w:r>
      <w:r>
        <w:rPr>
          <w:i/>
          <w:sz w:val="24"/>
          <w:szCs w:val="24"/>
        </w:rPr>
        <w:t xml:space="preserve"> (allegato B)</w:t>
      </w:r>
      <w:r w:rsidRPr="00FE61BB">
        <w:rPr>
          <w:i/>
          <w:sz w:val="24"/>
          <w:szCs w:val="24"/>
        </w:rPr>
        <w:t xml:space="preserve">” </w:t>
      </w:r>
      <w:r w:rsidRPr="00FE61BB">
        <w:rPr>
          <w:sz w:val="24"/>
          <w:szCs w:val="24"/>
        </w:rPr>
        <w:t xml:space="preserve">non dovrà essere riconsegnata al Soggetto </w:t>
      </w:r>
      <w:r>
        <w:rPr>
          <w:sz w:val="24"/>
          <w:szCs w:val="24"/>
        </w:rPr>
        <w:t>erogatore della formazione</w:t>
      </w:r>
      <w:r w:rsidRPr="00FE61BB">
        <w:rPr>
          <w:sz w:val="24"/>
          <w:szCs w:val="24"/>
        </w:rPr>
        <w:t xml:space="preserve">, ma dovrà essere conservata dall’RLS in azienda, </w:t>
      </w:r>
      <w:r>
        <w:rPr>
          <w:sz w:val="24"/>
          <w:szCs w:val="24"/>
        </w:rPr>
        <w:t>al pari della</w:t>
      </w:r>
      <w:r w:rsidRPr="00FE61BB">
        <w:rPr>
          <w:sz w:val="24"/>
          <w:szCs w:val="24"/>
        </w:rPr>
        <w:t xml:space="preserve"> copia del DVR, ferma restando la possibilità per lo stesso RLS di trarne elementi di riflessione da approfondire in aula con il docente nella fase di confronto prevista</w:t>
      </w:r>
      <w:r>
        <w:rPr>
          <w:sz w:val="24"/>
          <w:szCs w:val="24"/>
        </w:rPr>
        <w:t xml:space="preserve"> all’interno dell’ultimo modulo formativo, prima della verifica finale.</w:t>
      </w:r>
    </w:p>
    <w:p w:rsidR="008D751D" w:rsidRDefault="008D751D" w:rsidP="008D751D">
      <w:pPr>
        <w:pStyle w:val="Paragrafoelenco"/>
        <w:spacing w:after="0"/>
        <w:rPr>
          <w:sz w:val="6"/>
          <w:szCs w:val="6"/>
        </w:rPr>
      </w:pPr>
    </w:p>
    <w:p w:rsidR="008D751D" w:rsidRPr="00A56DEA" w:rsidRDefault="008D751D" w:rsidP="008D751D">
      <w:pPr>
        <w:pStyle w:val="Paragrafoelenco"/>
        <w:numPr>
          <w:ilvl w:val="0"/>
          <w:numId w:val="20"/>
        </w:numPr>
        <w:spacing w:after="0"/>
        <w:ind w:left="284"/>
        <w:jc w:val="both"/>
        <w:rPr>
          <w:i/>
        </w:rPr>
      </w:pPr>
      <w:r>
        <w:rPr>
          <w:sz w:val="24"/>
          <w:szCs w:val="24"/>
        </w:rPr>
        <w:t xml:space="preserve">Sarà invece cura dell’RLS consegnare al Soggetto erogatore della formazione, </w:t>
      </w:r>
      <w:r>
        <w:rPr>
          <w:sz w:val="24"/>
          <w:szCs w:val="24"/>
        </w:rPr>
        <w:t>entro la fine del corso</w:t>
      </w:r>
      <w:r>
        <w:rPr>
          <w:sz w:val="24"/>
          <w:szCs w:val="24"/>
        </w:rPr>
        <w:t xml:space="preserve">, l’allegato </w:t>
      </w:r>
      <w:r>
        <w:rPr>
          <w:i/>
          <w:sz w:val="24"/>
          <w:szCs w:val="24"/>
        </w:rPr>
        <w:t>“Verbale sintetico delle attività svolte in azienda</w:t>
      </w:r>
      <w:r>
        <w:rPr>
          <w:i/>
          <w:sz w:val="24"/>
          <w:szCs w:val="24"/>
        </w:rPr>
        <w:t xml:space="preserve"> (allegato C)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>, controfirmato dallo stesso RLS e dal datore di lavoro (o suo delegato).</w:t>
      </w:r>
    </w:p>
    <w:p w:rsidR="008D751D" w:rsidRPr="00A56DEA" w:rsidRDefault="008D751D" w:rsidP="008D751D">
      <w:pPr>
        <w:pStyle w:val="Paragrafoelenco"/>
        <w:spacing w:after="0"/>
        <w:rPr>
          <w:i/>
        </w:rPr>
      </w:pPr>
    </w:p>
    <w:p w:rsidR="008D751D" w:rsidRDefault="008D751D" w:rsidP="008D751D">
      <w:pPr>
        <w:pStyle w:val="Paragrafoelenco"/>
        <w:spacing w:after="0"/>
        <w:ind w:left="284"/>
        <w:jc w:val="both"/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</w:t>
      </w:r>
    </w:p>
    <w:p w:rsidR="008D751D" w:rsidRPr="00A56DEA" w:rsidRDefault="008D751D" w:rsidP="008D751D">
      <w:pPr>
        <w:pStyle w:val="Paragrafoelenco"/>
        <w:spacing w:after="0"/>
        <w:ind w:left="284"/>
        <w:jc w:val="both"/>
        <w:rPr>
          <w:i/>
          <w:sz w:val="6"/>
          <w:szCs w:val="6"/>
        </w:rPr>
      </w:pPr>
    </w:p>
    <w:p w:rsidR="008D751D" w:rsidRDefault="008D751D" w:rsidP="008D751D">
      <w:pPr>
        <w:pStyle w:val="Testonotaapidipagina"/>
        <w:ind w:left="284"/>
        <w:jc w:val="both"/>
        <w:rPr>
          <w:rFonts w:asciiTheme="minorHAnsi" w:hAnsiTheme="minorHAnsi"/>
        </w:rPr>
      </w:pPr>
      <w:r>
        <w:t xml:space="preserve">(*)  </w:t>
      </w:r>
      <w:r w:rsidRPr="005215E6">
        <w:rPr>
          <w:rFonts w:asciiTheme="minorHAnsi" w:hAnsiTheme="minorHAnsi"/>
        </w:rPr>
        <w:t>I fattori di rischio evidenziati nella C</w:t>
      </w:r>
      <w:r w:rsidRPr="005215E6">
        <w:rPr>
          <w:rFonts w:asciiTheme="minorHAnsi" w:hAnsiTheme="minorHAnsi"/>
          <w:i/>
        </w:rPr>
        <w:t xml:space="preserve">heck list  </w:t>
      </w:r>
      <w:r w:rsidRPr="005215E6">
        <w:rPr>
          <w:rFonts w:asciiTheme="minorHAnsi" w:hAnsiTheme="minorHAnsi"/>
        </w:rPr>
        <w:t xml:space="preserve">corrispondono, sostanzialmente, a quelli risultanti dal documento </w:t>
      </w:r>
      <w:r w:rsidRPr="005215E6">
        <w:rPr>
          <w:rFonts w:asciiTheme="minorHAnsi" w:hAnsiTheme="minorHAnsi"/>
          <w:i/>
        </w:rPr>
        <w:t>“Procedure standardizzate per la valutazione dei rischi”</w:t>
      </w:r>
      <w:r>
        <w:rPr>
          <w:rFonts w:asciiTheme="minorHAnsi" w:hAnsiTheme="minorHAnsi"/>
        </w:rPr>
        <w:t>,</w:t>
      </w:r>
      <w:r w:rsidRPr="005215E6">
        <w:rPr>
          <w:rFonts w:asciiTheme="minorHAnsi" w:hAnsiTheme="minorHAnsi"/>
          <w:i/>
        </w:rPr>
        <w:t xml:space="preserve"> </w:t>
      </w:r>
      <w:r w:rsidRPr="005215E6">
        <w:rPr>
          <w:rFonts w:asciiTheme="minorHAnsi" w:hAnsiTheme="minorHAnsi"/>
        </w:rPr>
        <w:t>approvato dalla Commissione Consultiva Permanente  il 16 maggio 2012.</w:t>
      </w:r>
    </w:p>
    <w:p w:rsidR="008D751D" w:rsidRDefault="008D751D">
      <w:pPr>
        <w:rPr>
          <w:rFonts w:eastAsia="Times New Roman" w:cs="Times New Roman"/>
          <w:sz w:val="20"/>
          <w:szCs w:val="20"/>
          <w:lang w:eastAsia="it-IT"/>
        </w:rPr>
      </w:pPr>
      <w:r>
        <w:br w:type="page"/>
      </w:r>
    </w:p>
    <w:p w:rsidR="008D751D" w:rsidRPr="005215E6" w:rsidRDefault="008D751D" w:rsidP="008D751D">
      <w:pPr>
        <w:pStyle w:val="Testonotaapidipagina"/>
        <w:ind w:left="284"/>
        <w:jc w:val="both"/>
        <w:rPr>
          <w:rFonts w:asciiTheme="minorHAnsi" w:hAnsiTheme="minorHAnsi"/>
        </w:rPr>
      </w:pPr>
    </w:p>
    <w:p w:rsidR="00E045D5" w:rsidRPr="006E4B87" w:rsidRDefault="00E045D5" w:rsidP="006E4B87">
      <w:pPr>
        <w:pStyle w:val="Paragrafoelenco"/>
        <w:spacing w:line="240" w:lineRule="auto"/>
        <w:ind w:left="0"/>
        <w:jc w:val="both"/>
        <w:rPr>
          <w:b/>
          <w:caps/>
          <w:sz w:val="25"/>
          <w:szCs w:val="25"/>
          <w:u w:val="single"/>
        </w:rPr>
      </w:pPr>
      <w:r w:rsidRPr="006E4B87">
        <w:rPr>
          <w:b/>
          <w:smallCaps/>
          <w:sz w:val="28"/>
          <w:szCs w:val="28"/>
          <w:u w:val="single"/>
        </w:rPr>
        <w:t>Allegato B</w:t>
      </w:r>
      <w:r w:rsidRPr="006C774E">
        <w:rPr>
          <w:b/>
        </w:rPr>
        <w:t xml:space="preserve"> </w:t>
      </w:r>
      <w:r>
        <w:rPr>
          <w:b/>
        </w:rPr>
        <w:t xml:space="preserve"> </w:t>
      </w:r>
      <w:r w:rsidRPr="006C774E">
        <w:rPr>
          <w:b/>
          <w:sz w:val="28"/>
          <w:szCs w:val="28"/>
          <w:u w:val="single"/>
        </w:rPr>
        <w:t>(</w:t>
      </w:r>
      <w:r w:rsidRPr="006E4B87">
        <w:rPr>
          <w:b/>
          <w:sz w:val="25"/>
          <w:szCs w:val="25"/>
          <w:u w:val="single"/>
        </w:rPr>
        <w:t xml:space="preserve">da consegnare all’RLS, a cura del Soggetto </w:t>
      </w:r>
      <w:r w:rsidR="006E4B87" w:rsidRPr="006E4B87">
        <w:rPr>
          <w:b/>
          <w:sz w:val="25"/>
          <w:szCs w:val="25"/>
          <w:u w:val="single"/>
        </w:rPr>
        <w:t>erogatore della formazione</w:t>
      </w:r>
      <w:r w:rsidRPr="006E4B87">
        <w:rPr>
          <w:b/>
          <w:sz w:val="25"/>
          <w:szCs w:val="25"/>
          <w:u w:val="single"/>
        </w:rPr>
        <w:t>, al termine del Modulo 5 e da conservare in azienda</w:t>
      </w:r>
      <w:r w:rsidRPr="006E4B87">
        <w:rPr>
          <w:b/>
          <w:caps/>
          <w:sz w:val="25"/>
          <w:szCs w:val="25"/>
          <w:u w:val="single"/>
        </w:rPr>
        <w:t>)</w:t>
      </w:r>
    </w:p>
    <w:p w:rsidR="00E045D5" w:rsidRPr="00005DB8" w:rsidRDefault="00E045D5" w:rsidP="00E045D5">
      <w:pPr>
        <w:pStyle w:val="Paragrafoelenco"/>
        <w:spacing w:line="240" w:lineRule="auto"/>
        <w:ind w:left="0"/>
        <w:jc w:val="center"/>
        <w:rPr>
          <w:b/>
          <w:smallCaps/>
          <w:sz w:val="18"/>
          <w:szCs w:val="18"/>
        </w:rPr>
      </w:pPr>
    </w:p>
    <w:p w:rsidR="00E045D5" w:rsidRPr="00E045D5" w:rsidRDefault="00E045D5" w:rsidP="00E045D5">
      <w:pPr>
        <w:pStyle w:val="Paragrafoelenco"/>
        <w:spacing w:line="240" w:lineRule="auto"/>
        <w:ind w:left="0"/>
        <w:jc w:val="center"/>
        <w:rPr>
          <w:b/>
          <w:smallCaps/>
          <w:color w:val="0F243E" w:themeColor="text2" w:themeShade="80"/>
          <w:sz w:val="24"/>
          <w:szCs w:val="24"/>
        </w:rPr>
      </w:pPr>
      <w:r w:rsidRPr="00E045D5">
        <w:rPr>
          <w:b/>
          <w:smallCaps/>
          <w:color w:val="0F243E" w:themeColor="text2" w:themeShade="80"/>
          <w:sz w:val="24"/>
          <w:szCs w:val="24"/>
        </w:rPr>
        <w:t>Programma di formazione iniziale per RLS</w:t>
      </w:r>
    </w:p>
    <w:p w:rsidR="00E045D5" w:rsidRDefault="00E045D5" w:rsidP="00941EC5">
      <w:pPr>
        <w:pStyle w:val="Paragrafoelenco"/>
        <w:spacing w:after="0" w:line="240" w:lineRule="auto"/>
        <w:ind w:left="0"/>
        <w:jc w:val="center"/>
        <w:rPr>
          <w:b/>
          <w:color w:val="0F243E" w:themeColor="text2" w:themeShade="80"/>
          <w:sz w:val="20"/>
          <w:szCs w:val="20"/>
        </w:rPr>
      </w:pPr>
      <w:r w:rsidRPr="00E045D5">
        <w:rPr>
          <w:b/>
          <w:color w:val="0F243E" w:themeColor="text2" w:themeShade="80"/>
          <w:sz w:val="20"/>
          <w:szCs w:val="20"/>
        </w:rPr>
        <w:t xml:space="preserve">(Accordo tra </w:t>
      </w:r>
      <w:r w:rsidR="00CB585B">
        <w:rPr>
          <w:b/>
          <w:color w:val="0F243E" w:themeColor="text2" w:themeShade="80"/>
          <w:sz w:val="20"/>
          <w:szCs w:val="20"/>
        </w:rPr>
        <w:t xml:space="preserve">la </w:t>
      </w:r>
      <w:r w:rsidRPr="00E045D5">
        <w:rPr>
          <w:b/>
          <w:color w:val="0F243E" w:themeColor="text2" w:themeShade="80"/>
          <w:sz w:val="20"/>
          <w:szCs w:val="20"/>
        </w:rPr>
        <w:t xml:space="preserve">Confindustria Piemonte e CGIL, CISL, UIL del Piemonte </w:t>
      </w:r>
      <w:r w:rsidR="00941EC5">
        <w:rPr>
          <w:b/>
          <w:color w:val="0F243E" w:themeColor="text2" w:themeShade="80"/>
          <w:sz w:val="20"/>
          <w:szCs w:val="20"/>
        </w:rPr>
        <w:t>del 20 giugno 2017)</w:t>
      </w:r>
    </w:p>
    <w:p w:rsidR="00941EC5" w:rsidRPr="00005DB8" w:rsidRDefault="00941EC5" w:rsidP="00941EC5">
      <w:pPr>
        <w:pStyle w:val="Paragrafoelenco"/>
        <w:spacing w:after="0" w:line="240" w:lineRule="auto"/>
        <w:ind w:left="0"/>
        <w:jc w:val="center"/>
        <w:rPr>
          <w:b/>
          <w:sz w:val="12"/>
          <w:szCs w:val="12"/>
          <w:u w:val="single"/>
        </w:rPr>
      </w:pPr>
    </w:p>
    <w:p w:rsidR="00E045D5" w:rsidRDefault="00E045D5" w:rsidP="00E045D5">
      <w:pPr>
        <w:spacing w:after="0"/>
        <w:jc w:val="center"/>
        <w:rPr>
          <w:b/>
          <w:caps/>
          <w:color w:val="244061" w:themeColor="accent1" w:themeShade="80"/>
          <w:sz w:val="40"/>
          <w:szCs w:val="40"/>
        </w:rPr>
      </w:pPr>
      <w:r w:rsidRPr="00580635">
        <w:rPr>
          <w:b/>
          <w:caps/>
          <w:color w:val="244061" w:themeColor="accent1" w:themeShade="80"/>
          <w:sz w:val="40"/>
          <w:szCs w:val="40"/>
        </w:rPr>
        <w:t>Check list fattori di rischio</w:t>
      </w:r>
    </w:p>
    <w:p w:rsidR="00E045D5" w:rsidRPr="00E045D5" w:rsidRDefault="00E045D5" w:rsidP="00E045D5">
      <w:pPr>
        <w:spacing w:after="0"/>
        <w:jc w:val="center"/>
        <w:rPr>
          <w:sz w:val="12"/>
          <w:szCs w:val="12"/>
        </w:rPr>
      </w:pPr>
    </w:p>
    <w:tbl>
      <w:tblPr>
        <w:tblW w:w="48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3405"/>
        <w:gridCol w:w="5227"/>
        <w:gridCol w:w="3412"/>
      </w:tblGrid>
      <w:tr w:rsidR="00E045D5" w:rsidRPr="00CE607D" w:rsidTr="00190026">
        <w:trPr>
          <w:cantSplit/>
          <w:trHeight w:val="1125"/>
          <w:jc w:val="center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B375A6" w:rsidRDefault="00E045D5" w:rsidP="00E045D5">
            <w:pPr>
              <w:spacing w:after="0" w:line="240" w:lineRule="auto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B375A6">
              <w:rPr>
                <w:rFonts w:cstheme="minorHAnsi"/>
                <w:b/>
                <w:caps/>
                <w:sz w:val="28"/>
                <w:szCs w:val="28"/>
              </w:rPr>
              <w:t>Fattore di rischio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E045D5" w:rsidRDefault="00E045D5" w:rsidP="00E045D5">
            <w:pPr>
              <w:jc w:val="center"/>
              <w:rPr>
                <w:rFonts w:cstheme="minorHAnsi"/>
                <w:b/>
                <w:caps/>
                <w:sz w:val="6"/>
                <w:szCs w:val="6"/>
              </w:rPr>
            </w:pPr>
          </w:p>
          <w:p w:rsidR="00E045D5" w:rsidRDefault="00E045D5" w:rsidP="00E045D5">
            <w:pPr>
              <w:spacing w:after="0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B375A6">
              <w:rPr>
                <w:rFonts w:cstheme="minorHAnsi"/>
                <w:b/>
                <w:caps/>
                <w:sz w:val="28"/>
                <w:szCs w:val="28"/>
              </w:rPr>
              <w:t>Misure di prevenzione e protezione</w:t>
            </w:r>
            <w:r>
              <w:rPr>
                <w:rFonts w:cstheme="minorHAnsi"/>
                <w:b/>
                <w:caps/>
                <w:sz w:val="28"/>
                <w:szCs w:val="28"/>
              </w:rPr>
              <w:t xml:space="preserve"> adottate in corrispondenza </w:t>
            </w:r>
          </w:p>
          <w:p w:rsidR="00E045D5" w:rsidRPr="00B375A6" w:rsidRDefault="00E045D5" w:rsidP="00E045D5">
            <w:pPr>
              <w:spacing w:after="0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dei rischi rilevati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B375A6" w:rsidRDefault="00E045D5" w:rsidP="006757BC">
            <w:pPr>
              <w:spacing w:after="0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B375A6">
              <w:rPr>
                <w:rFonts w:cstheme="minorHAnsi"/>
                <w:b/>
                <w:caps/>
                <w:sz w:val="28"/>
                <w:szCs w:val="28"/>
              </w:rPr>
              <w:t>Annotazioni</w:t>
            </w:r>
          </w:p>
        </w:tc>
      </w:tr>
      <w:tr w:rsidR="00E045D5" w:rsidRPr="00CE607D" w:rsidTr="00190026">
        <w:trPr>
          <w:trHeight w:val="617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Ambiente di lavoro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Altezza, cubatura, superficie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Pavimenti, muri, soffitti, finestre e lucernari, banchine e rampe di carico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Vie di circolazione interne ed esterne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667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Vie e uscite di emergenza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595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Porte e portoni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663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Scale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Posti di lavoro e di passaggio e luoghi di lavoro esterni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Microclima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Illuminazione naturale e artificiale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Locali di riposo e refezione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Spogliatoi e armadi per il vestiario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Servizi igienico assistenziali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E045D5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Accessibilità  alle persone diversamente abili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Ambienti confinati o a sospetto rischio di inquinamento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CE607D" w:rsidRDefault="00E045D5" w:rsidP="00E045D5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 xml:space="preserve">Vasche, canalizzazioni, tubazioni, serbatoi, recipienti, silos. </w:t>
            </w:r>
          </w:p>
          <w:p w:rsidR="00E045D5" w:rsidRPr="00CE607D" w:rsidRDefault="00E045D5" w:rsidP="00E045D5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Pozzi neri, fogne, camini, fosse, gallerie, caldaie e simili.</w:t>
            </w:r>
          </w:p>
          <w:p w:rsidR="00E045D5" w:rsidRPr="00CE607D" w:rsidRDefault="00E045D5" w:rsidP="00E045D5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Scavi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Lavori in quota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rPr>
                <w:rFonts w:cstheme="minorHAnsi"/>
                <w:i/>
              </w:rPr>
            </w:pPr>
            <w:r w:rsidRPr="00CE607D">
              <w:rPr>
                <w:rFonts w:cstheme="minorHAnsi"/>
              </w:rPr>
              <w:t>Attrezzature per lavori in quota (ponteggi, scale portatili, trabattelli, cavalletti, piattaforme elevabili,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Impianti di servizio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elettrici</w:t>
            </w:r>
            <w:r w:rsidR="006757BC" w:rsidRP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(circuiti di alimentazione degli apparecchi utilizzatori e delle prese a spina;  cabine di trasformazione; gruppi elettrogeni, ecc.;)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di riscaldamento, di climatizzazione, di condizionamento e di refrigerazione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idrici e sanitari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di distribuzione e utilizzazione di gas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di sollevamento</w:t>
            </w:r>
            <w:r w:rsid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(ascensori, montacarichi, scale mobili, montascale)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6757BC" w:rsidP="001900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Attrezzature di lavoro </w:t>
            </w:r>
          </w:p>
          <w:p w:rsidR="00E045D5" w:rsidRPr="006757BC" w:rsidRDefault="00E045D5" w:rsidP="001900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Apparecchi e impianti in pressione</w:t>
            </w:r>
            <w:r w:rsid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(es. reattori chimici, autoclavi, impianti e azionamenti ad aria compressa,  compressori industriali, ecc)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e apparecchi termici fissi</w:t>
            </w:r>
            <w:r w:rsid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(forni industriali, centrali termiche di processo,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Default="00E045D5" w:rsidP="00190026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Macchine per la lavorazione del metallo, del legno, della gomma o della plastica, della carta, del vetro, ecc.; macchine tessili, alimentari, per la stampa, ecc.</w:t>
            </w:r>
            <w:r w:rsid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(esempi: Torni, Presse, Trapano a colonna, Macchine per il taglio o la saldatura,  ecc.)</w:t>
            </w:r>
          </w:p>
          <w:p w:rsidR="00190026" w:rsidRPr="00190026" w:rsidRDefault="00190026" w:rsidP="00190026">
            <w:pPr>
              <w:spacing w:after="0"/>
              <w:rPr>
                <w:rFonts w:cstheme="minorHAnsi"/>
                <w:sz w:val="6"/>
                <w:szCs w:val="6"/>
              </w:rPr>
            </w:pPr>
          </w:p>
          <w:p w:rsidR="00E045D5" w:rsidRDefault="00E045D5" w:rsidP="00190026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automatizzati per la produzione di articoli vari</w:t>
            </w:r>
          </w:p>
          <w:p w:rsidR="00190026" w:rsidRPr="006757BC" w:rsidRDefault="00190026" w:rsidP="00190026">
            <w:pPr>
              <w:spacing w:after="0"/>
              <w:rPr>
                <w:rFonts w:cstheme="minorHAnsi"/>
              </w:rPr>
            </w:pPr>
          </w:p>
          <w:p w:rsidR="00E045D5" w:rsidRPr="006757BC" w:rsidRDefault="00E045D5" w:rsidP="006757BC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Macchine e impianti per il confezionamento, l’imbottigliamento, ecc.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di sollevamento, trasporto e movimentazione materiali</w:t>
            </w:r>
            <w:r w:rsidR="006757BC" w:rsidRP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(gru, carri ponte, argani, elevatori a nastro, nastri trasportatori, sistemi a binario, robot manipolatori, ecc)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Impianti di aspirazione trattamento e filtraggio aria (per polveri o vapori di lavorazione, fumi di saldatura,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Serbatoi di combustibile fuori terra a pressione atmosferica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 xml:space="preserve">Serbatoi interrati  (compresi quelli degli impianti di distribuzione stradale) 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 xml:space="preserve"> GPL: serbatoi, depositi di bombole, distributori 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190026" w:rsidRPr="00CE607D" w:rsidTr="00190026">
        <w:trPr>
          <w:trHeight w:val="912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026" w:rsidRDefault="00190026" w:rsidP="001900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0026" w:rsidRPr="006757BC" w:rsidRDefault="00190026" w:rsidP="00190026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Attrezzature di lavoro portatili ad azionamento non manuale</w:t>
            </w:r>
          </w:p>
          <w:p w:rsidR="00190026" w:rsidRPr="006757BC" w:rsidRDefault="00190026" w:rsidP="00190026">
            <w:pPr>
              <w:rPr>
                <w:rFonts w:cstheme="minorHAnsi"/>
                <w:b/>
                <w:sz w:val="24"/>
                <w:szCs w:val="24"/>
              </w:rPr>
            </w:pPr>
          </w:p>
          <w:p w:rsidR="00190026" w:rsidRPr="006757BC" w:rsidRDefault="00190026" w:rsidP="00190026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Apparecchi e dispositivi elettrici o ad azionamento non manuale tras</w:t>
            </w:r>
            <w:r>
              <w:rPr>
                <w:rFonts w:cstheme="minorHAnsi"/>
                <w:b/>
                <w:sz w:val="24"/>
                <w:szCs w:val="24"/>
              </w:rPr>
              <w:t>portabili, portatili</w:t>
            </w:r>
          </w:p>
          <w:p w:rsidR="00190026" w:rsidRPr="00CE607D" w:rsidRDefault="00190026" w:rsidP="00190026">
            <w:pPr>
              <w:rPr>
                <w:rFonts w:cstheme="minorHAnsi"/>
                <w:b/>
              </w:rPr>
            </w:pPr>
          </w:p>
          <w:p w:rsidR="00190026" w:rsidRPr="00CE607D" w:rsidRDefault="00190026" w:rsidP="00190026">
            <w:pPr>
              <w:rPr>
                <w:rFonts w:cstheme="minorHAnsi"/>
                <w:b/>
              </w:rPr>
            </w:pPr>
          </w:p>
          <w:p w:rsidR="00190026" w:rsidRPr="00CE607D" w:rsidRDefault="00190026" w:rsidP="00190026">
            <w:pPr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6757BC" w:rsidRDefault="00190026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Apparecchiature informatiche e da ufficio (PC, stampante, fotocopiatrice, fax,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</w:tr>
      <w:tr w:rsidR="00190026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0026" w:rsidRPr="00CE607D" w:rsidRDefault="00190026" w:rsidP="00190026">
            <w:pPr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6757BC" w:rsidRDefault="00190026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Utensili portatili, elettrici o a motore a scoppio (trapano, avvitatore, tagliasiepi elettrico,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</w:tr>
      <w:tr w:rsidR="00190026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CE607D" w:rsidRDefault="00190026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6757BC" w:rsidRDefault="00190026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Apparecchi portatili per saldatura (saldatrice ad arco,  saldatrice a stagno, saldatrice a cannello, ecc)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</w:tr>
      <w:tr w:rsidR="00190026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CE607D" w:rsidRDefault="00190026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6757BC" w:rsidRDefault="00190026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Organi di collegamento elettrico mobili ad uso domestico o industriale (Avvolgicavo, cordoni di prolunga, adattatori,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</w:tr>
      <w:tr w:rsidR="00190026" w:rsidRPr="00CE607D" w:rsidTr="00190026">
        <w:trPr>
          <w:trHeight w:val="1198"/>
          <w:jc w:val="center"/>
        </w:trPr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CE607D" w:rsidRDefault="00190026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6757BC" w:rsidRDefault="00190026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Apparecchi elettromedicali (ecografi, elettrocardiografi, defibrillatori, elettrostimolatori,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</w:tr>
      <w:tr w:rsidR="00190026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CE607D" w:rsidRDefault="00190026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026" w:rsidRPr="006757BC" w:rsidRDefault="00190026" w:rsidP="006757BC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Apparecchi elettrici per uso estetico (apparecchi per massaggi meccanici, depilatori elettrici, lampade abbronzanti, elettrostimolatori,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26" w:rsidRPr="00CE607D" w:rsidRDefault="00190026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190026">
            <w:pPr>
              <w:rPr>
                <w:rFonts w:cstheme="minorHAnsi"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Attrezzature in pressione trasportabili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Attrezzature in pressione trasportabili (compressori, sterilizzatrici , bombole, fusti in pressione, recipienti criogenici,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Attrezzature di lavoro  -</w:t>
            </w:r>
            <w:r w:rsidR="0025398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57BC">
              <w:rPr>
                <w:rFonts w:cstheme="minorHAnsi"/>
                <w:b/>
                <w:sz w:val="24"/>
                <w:szCs w:val="24"/>
              </w:rPr>
              <w:t>Altre attrezzature a motore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Macchine da cantiere</w:t>
            </w:r>
            <w:r w:rsid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(escavatori, gru, trivelle, betoniere, dumper, autobetonpompa, rullo compressore,ecc.)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Macchine agricole</w:t>
            </w:r>
            <w:r w:rsidR="006757BC">
              <w:rPr>
                <w:rFonts w:cstheme="minorHAnsi"/>
              </w:rPr>
              <w:t xml:space="preserve"> </w:t>
            </w:r>
            <w:r w:rsidRPr="006757BC">
              <w:rPr>
                <w:rFonts w:cstheme="minorHAnsi"/>
              </w:rPr>
              <w:t>(Trattrici, Macchine per la lavorazione del terreno, Macchine per la raccolta,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Carrelli industriali (Muletti, transpallett,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Mezzi di trasporto materiali (Autocarri, furgoni, autotreni, autocisterne,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625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E045D5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Mezzi trasporto persone (Autovetture, Pullman, Autoambulanze,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  <w:b/>
              </w:rPr>
            </w:pPr>
          </w:p>
        </w:tc>
      </w:tr>
      <w:tr w:rsidR="00E045D5" w:rsidRPr="00CE607D" w:rsidTr="00190026">
        <w:trPr>
          <w:trHeight w:val="704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Attrezzature di lavoro  -</w:t>
            </w:r>
            <w:r w:rsidR="0025398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57BC">
              <w:rPr>
                <w:rFonts w:cstheme="minorHAnsi"/>
                <w:b/>
                <w:sz w:val="24"/>
                <w:szCs w:val="24"/>
              </w:rPr>
              <w:t>Utensili manuali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Martello, pinza,  taglierino, seghetti, cesoie, trapano manuale, piccone, ecc.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Scariche atmosferiche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Scariche atmosferiche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Lavoro al videoterminale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 xml:space="preserve"> Lavoro al videoterminale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626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Agenti fisici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E045D5" w:rsidP="00253984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Rumor</w:t>
            </w:r>
            <w:r w:rsidR="004F0F41">
              <w:rPr>
                <w:rFonts w:cstheme="minorHAnsi"/>
              </w:rPr>
              <w:t>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705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E045D5" w:rsidP="00253984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Vibrazioni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701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E045D5" w:rsidP="00253984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Campi elettromagnetic</w:t>
            </w:r>
            <w:r w:rsidR="004F0F41">
              <w:rPr>
                <w:rFonts w:cstheme="minorHAnsi"/>
              </w:rPr>
              <w:t>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697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E045D5" w:rsidP="00253984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Radiazioni ottiche artificiali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Microclima di ambienti severi infrasuoni, ultrasuoni, atmosfere iperbariche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681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Radiazioni ionizzanti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spacing w:after="0"/>
              <w:rPr>
                <w:rFonts w:cstheme="minorHAnsi"/>
              </w:rPr>
            </w:pPr>
            <w:r w:rsidRPr="006757BC">
              <w:rPr>
                <w:rFonts w:cstheme="minorHAnsi"/>
              </w:rPr>
              <w:t>Raggi alfa, beta, gamma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651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6757BC">
              <w:rPr>
                <w:rFonts w:cstheme="minorHAnsi"/>
                <w:b/>
                <w:sz w:val="24"/>
                <w:szCs w:val="24"/>
              </w:rPr>
              <w:t>Sostanze pericolose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E045D5" w:rsidP="00253984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Agenti chimici (comprese le polveri)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717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6757BC" w:rsidRDefault="00E045D5" w:rsidP="00253984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Agenti cancerogeni e mutageni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685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E045D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6757BC" w:rsidRDefault="00E045D5" w:rsidP="00253984">
            <w:pPr>
              <w:rPr>
                <w:rFonts w:cstheme="minorHAnsi"/>
              </w:rPr>
            </w:pPr>
            <w:r w:rsidRPr="006757BC">
              <w:rPr>
                <w:rFonts w:cstheme="minorHAnsi"/>
              </w:rPr>
              <w:t>Amianto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Agenti biologici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Virus, batteri, colture cellulari, microrganismi, endoparassiti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1124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Atmosfere esplosive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CE607D" w:rsidRDefault="00E045D5" w:rsidP="00253984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Presenza di atmosfera esplosive (a causa di sostanze infiammabili allo stato di gas, vapori, nebbie o polveri)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1398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Incendio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F41" w:rsidRDefault="004F0F41" w:rsidP="00253984">
            <w:pPr>
              <w:spacing w:after="0"/>
              <w:rPr>
                <w:rFonts w:cstheme="minorHAnsi"/>
              </w:rPr>
            </w:pPr>
          </w:p>
          <w:p w:rsidR="00E045D5" w:rsidRPr="00CE607D" w:rsidRDefault="00E045D5" w:rsidP="00253984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 xml:space="preserve">Presenza di sostanze (solide, liquide o gassose) combustibili, infiammabili e condizioni di innesco (fiamme libere, scintille, parti calde, ecc.)  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755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Altre emergenze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41" w:rsidRPr="004F0F41" w:rsidRDefault="004F0F41" w:rsidP="00253984">
            <w:pPr>
              <w:rPr>
                <w:rFonts w:cstheme="minorHAnsi"/>
                <w:sz w:val="6"/>
                <w:szCs w:val="6"/>
              </w:rPr>
            </w:pPr>
          </w:p>
          <w:p w:rsidR="00E045D5" w:rsidRPr="00CE607D" w:rsidRDefault="00E045D5" w:rsidP="00253984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Inondazioni, allagamenti, terremoti, ecc.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1100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Fattori organizzativi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 xml:space="preserve">Stress lavoro-correlato 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88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Condizioni di lavoro particolari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 xml:space="preserve"> Lavoro notturno, lavori in solitario in condizioni critiche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Pericoli connessi all’interazione con persone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Attività svolte a contatto con il pubblico (attività ospedaliera, di sportello, di formazione, di assistenza, di intrattenimento, di rappresentanza e vendita, di vigilanza in genere, ecc.)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Pericoli connessi all’interazione con animali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Attività svolte in allevamenti, maneggi, nei luoghi di intrattenimento e spettacolo, nei mattatoi, stabulari, ecc.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Movimentazione manuale dei carichi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41" w:rsidRPr="00CE607D" w:rsidRDefault="00E045D5" w:rsidP="00253984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Posture incongrue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Movimenti ripetitivi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79"/>
          <w:jc w:val="center"/>
        </w:trPr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5D5" w:rsidRPr="00CE607D" w:rsidRDefault="00E045D5" w:rsidP="00253984">
            <w:pPr>
              <w:spacing w:after="0"/>
              <w:rPr>
                <w:rFonts w:cstheme="minorHAnsi"/>
              </w:rPr>
            </w:pPr>
            <w:r w:rsidRPr="00CE607D">
              <w:rPr>
                <w:rFonts w:cstheme="minorHAnsi"/>
              </w:rPr>
              <w:t>Sollevamento e spostamento di carichi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Lavori sotto tensione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Pericoli connessi ai lavori sotto tensione</w:t>
            </w:r>
            <w:r w:rsidR="00253984">
              <w:rPr>
                <w:rFonts w:cstheme="minorHAnsi"/>
              </w:rPr>
              <w:t xml:space="preserve"> </w:t>
            </w:r>
            <w:r w:rsidRPr="00CE607D">
              <w:rPr>
                <w:rFonts w:cstheme="minorHAnsi"/>
              </w:rPr>
              <w:t>(lavori elettrici con accesso alle parti attive di impianti o apparecchi elettrici)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912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Lavori in prossimità di parti attive di impianti elettrici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Pericoli connessi ai lavori in prossimità di parti attive di linee o impianti elettrici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190026">
        <w:trPr>
          <w:trHeight w:val="743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4F0F41" w:rsidRDefault="00E045D5" w:rsidP="0025398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Gravidanza e allattamento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5D5" w:rsidRPr="00CE607D" w:rsidRDefault="00E045D5" w:rsidP="00253984">
            <w:pPr>
              <w:rPr>
                <w:rFonts w:cstheme="minorHAnsi"/>
              </w:rPr>
            </w:pPr>
            <w:r w:rsidRPr="00CE607D">
              <w:rPr>
                <w:rFonts w:cstheme="minorHAnsi"/>
              </w:rPr>
              <w:t>Lavorazioni e/o agenti incompatibili</w:t>
            </w: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  <w:tr w:rsidR="00E045D5" w:rsidRPr="00CE607D" w:rsidTr="00E109F8">
        <w:trPr>
          <w:trHeight w:val="743"/>
          <w:jc w:val="center"/>
        </w:trPr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45D5" w:rsidRPr="004F0F41" w:rsidRDefault="00E045D5" w:rsidP="00E109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F41">
              <w:rPr>
                <w:rFonts w:cstheme="minorHAnsi"/>
                <w:b/>
                <w:sz w:val="24"/>
                <w:szCs w:val="24"/>
              </w:rPr>
              <w:t>ALTRO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5D5" w:rsidRPr="00CE607D" w:rsidRDefault="00E045D5" w:rsidP="00E045D5">
            <w:pPr>
              <w:rPr>
                <w:rFonts w:cstheme="minorHAnsi"/>
              </w:rPr>
            </w:pPr>
          </w:p>
        </w:tc>
      </w:tr>
    </w:tbl>
    <w:p w:rsidR="00E045D5" w:rsidRPr="00CE607D" w:rsidRDefault="00E045D5" w:rsidP="00E045D5">
      <w:pPr>
        <w:pStyle w:val="Paragrafoelenco"/>
        <w:spacing w:line="240" w:lineRule="auto"/>
        <w:ind w:left="0"/>
        <w:rPr>
          <w:rFonts w:cstheme="minorHAnsi"/>
        </w:rPr>
      </w:pPr>
    </w:p>
    <w:p w:rsidR="00FC05C2" w:rsidRDefault="00FC05C2" w:rsidP="00E109F8">
      <w:pPr>
        <w:jc w:val="center"/>
      </w:pPr>
    </w:p>
    <w:p w:rsidR="000D1339" w:rsidRDefault="000D1339"/>
    <w:p w:rsidR="000D1339" w:rsidRDefault="000D1339">
      <w:pPr>
        <w:sectPr w:rsidR="000D1339" w:rsidSect="00E045D5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0D1339" w:rsidRDefault="000D1339" w:rsidP="007D0EFD">
      <w:pPr>
        <w:pStyle w:val="Paragrafoelenco"/>
        <w:spacing w:line="240" w:lineRule="auto"/>
        <w:ind w:left="0"/>
        <w:jc w:val="both"/>
        <w:rPr>
          <w:b/>
          <w:sz w:val="28"/>
          <w:szCs w:val="28"/>
          <w:u w:val="single"/>
        </w:rPr>
      </w:pPr>
      <w:r w:rsidRPr="004B0A9F">
        <w:rPr>
          <w:b/>
          <w:smallCaps/>
          <w:sz w:val="28"/>
          <w:szCs w:val="28"/>
          <w:u w:val="single"/>
        </w:rPr>
        <w:t>Allegato</w:t>
      </w:r>
      <w:r w:rsidRPr="004B0A9F">
        <w:rPr>
          <w:b/>
          <w:sz w:val="28"/>
          <w:szCs w:val="28"/>
          <w:u w:val="single"/>
        </w:rPr>
        <w:t xml:space="preserve"> </w:t>
      </w:r>
      <w:r w:rsidRPr="004B0A9F">
        <w:rPr>
          <w:b/>
          <w:sz w:val="32"/>
          <w:szCs w:val="32"/>
          <w:u w:val="single"/>
        </w:rPr>
        <w:t>C</w:t>
      </w:r>
      <w:r w:rsidRPr="004B0A9F">
        <w:rPr>
          <w:b/>
        </w:rPr>
        <w:t xml:space="preserve">  </w:t>
      </w:r>
      <w:r w:rsidRPr="004B0A9F">
        <w:rPr>
          <w:b/>
          <w:sz w:val="28"/>
          <w:szCs w:val="28"/>
        </w:rPr>
        <w:t>(</w:t>
      </w:r>
      <w:r w:rsidRPr="004B0A9F">
        <w:rPr>
          <w:b/>
          <w:sz w:val="28"/>
          <w:szCs w:val="28"/>
          <w:u w:val="single"/>
        </w:rPr>
        <w:t xml:space="preserve">da restituire al Soggetto </w:t>
      </w:r>
      <w:r w:rsidR="007D0EFD">
        <w:rPr>
          <w:b/>
          <w:sz w:val="28"/>
          <w:szCs w:val="28"/>
          <w:u w:val="single"/>
        </w:rPr>
        <w:t>erogatore della formazione</w:t>
      </w:r>
      <w:r w:rsidRPr="004B0A9F">
        <w:rPr>
          <w:b/>
          <w:sz w:val="28"/>
          <w:szCs w:val="28"/>
          <w:u w:val="single"/>
        </w:rPr>
        <w:t xml:space="preserve">,  a cura dell’RLS, </w:t>
      </w:r>
    </w:p>
    <w:p w:rsidR="000D1339" w:rsidRPr="004B0A9F" w:rsidRDefault="000D1339" w:rsidP="007D0EFD">
      <w:pPr>
        <w:pStyle w:val="Paragrafoelenco"/>
        <w:spacing w:line="240" w:lineRule="auto"/>
        <w:ind w:left="0"/>
        <w:jc w:val="both"/>
        <w:rPr>
          <w:b/>
          <w:sz w:val="28"/>
          <w:szCs w:val="28"/>
          <w:u w:val="single"/>
        </w:rPr>
      </w:pPr>
      <w:r w:rsidRPr="004B0A9F">
        <w:rPr>
          <w:b/>
          <w:sz w:val="28"/>
          <w:szCs w:val="28"/>
          <w:u w:val="single"/>
        </w:rPr>
        <w:t>al termine dell’esercitazione aziendale)</w:t>
      </w:r>
    </w:p>
    <w:p w:rsidR="000D1339" w:rsidRPr="004B0A9F" w:rsidRDefault="000D1339" w:rsidP="007D0EFD">
      <w:pPr>
        <w:pStyle w:val="Paragrafoelenco"/>
        <w:spacing w:line="240" w:lineRule="auto"/>
        <w:ind w:left="0"/>
        <w:jc w:val="both"/>
        <w:rPr>
          <w:b/>
          <w:smallCaps/>
          <w:sz w:val="23"/>
          <w:szCs w:val="23"/>
        </w:rPr>
      </w:pPr>
    </w:p>
    <w:p w:rsidR="000D1339" w:rsidRPr="00A522D1" w:rsidRDefault="000D1339" w:rsidP="000D1339">
      <w:pPr>
        <w:pStyle w:val="Paragrafoelenco"/>
        <w:spacing w:line="240" w:lineRule="auto"/>
        <w:ind w:left="0"/>
        <w:jc w:val="center"/>
        <w:rPr>
          <w:b/>
          <w:smallCaps/>
          <w:sz w:val="24"/>
          <w:szCs w:val="24"/>
        </w:rPr>
      </w:pPr>
      <w:r w:rsidRPr="00A522D1">
        <w:rPr>
          <w:b/>
          <w:smallCaps/>
          <w:sz w:val="24"/>
          <w:szCs w:val="24"/>
        </w:rPr>
        <w:t>Programma di formazione iniziale per RLS</w:t>
      </w:r>
    </w:p>
    <w:p w:rsidR="000D1339" w:rsidRPr="00A522D1" w:rsidRDefault="000D1339" w:rsidP="00941EC5">
      <w:pPr>
        <w:pStyle w:val="Paragrafoelenco"/>
        <w:spacing w:after="0" w:line="240" w:lineRule="auto"/>
        <w:ind w:left="0"/>
        <w:jc w:val="center"/>
        <w:rPr>
          <w:b/>
          <w:sz w:val="20"/>
          <w:szCs w:val="20"/>
        </w:rPr>
      </w:pPr>
      <w:r w:rsidRPr="00A522D1">
        <w:rPr>
          <w:b/>
          <w:sz w:val="20"/>
          <w:szCs w:val="20"/>
        </w:rPr>
        <w:t xml:space="preserve">(Accordo tra </w:t>
      </w:r>
      <w:r w:rsidR="00CB585B">
        <w:rPr>
          <w:b/>
          <w:sz w:val="20"/>
          <w:szCs w:val="20"/>
        </w:rPr>
        <w:t xml:space="preserve">la </w:t>
      </w:r>
      <w:r w:rsidRPr="00A522D1">
        <w:rPr>
          <w:b/>
          <w:sz w:val="20"/>
          <w:szCs w:val="20"/>
        </w:rPr>
        <w:t xml:space="preserve">Confindustria Piemonte e CGIL, CISL, UIL del Piemonte </w:t>
      </w:r>
      <w:r w:rsidR="00941EC5">
        <w:rPr>
          <w:b/>
          <w:color w:val="0F243E" w:themeColor="text2" w:themeShade="80"/>
          <w:sz w:val="20"/>
          <w:szCs w:val="20"/>
        </w:rPr>
        <w:t>del 20 giugno 2017)</w:t>
      </w:r>
    </w:p>
    <w:p w:rsidR="000D1339" w:rsidRDefault="000D1339" w:rsidP="000D1339">
      <w:pPr>
        <w:pStyle w:val="Paragrafoelenco"/>
        <w:spacing w:line="240" w:lineRule="auto"/>
        <w:ind w:left="0"/>
        <w:rPr>
          <w:b/>
          <w:i/>
          <w:sz w:val="20"/>
          <w:szCs w:val="20"/>
          <w:u w:val="single"/>
        </w:rPr>
      </w:pPr>
    </w:p>
    <w:p w:rsidR="000D1339" w:rsidRDefault="000D1339" w:rsidP="000D1339">
      <w:pPr>
        <w:pStyle w:val="Paragrafoelenco"/>
        <w:spacing w:line="240" w:lineRule="auto"/>
        <w:ind w:left="0"/>
        <w:rPr>
          <w:b/>
          <w:i/>
          <w:sz w:val="20"/>
          <w:szCs w:val="20"/>
          <w:u w:val="single"/>
        </w:rPr>
      </w:pPr>
    </w:p>
    <w:p w:rsidR="000D1339" w:rsidRDefault="000D1339" w:rsidP="000D1339">
      <w:pPr>
        <w:pStyle w:val="Paragrafoelenco"/>
        <w:spacing w:line="240" w:lineRule="auto"/>
        <w:ind w:left="0"/>
        <w:rPr>
          <w:b/>
          <w:i/>
          <w:sz w:val="20"/>
          <w:szCs w:val="20"/>
          <w:u w:val="single"/>
        </w:rPr>
      </w:pPr>
    </w:p>
    <w:p w:rsidR="000D1339" w:rsidRPr="004B0A9F" w:rsidRDefault="000D1339" w:rsidP="000D1339">
      <w:pPr>
        <w:pStyle w:val="Paragrafoelenco"/>
        <w:spacing w:line="240" w:lineRule="auto"/>
        <w:ind w:left="0"/>
        <w:jc w:val="center"/>
        <w:rPr>
          <w:b/>
          <w:caps/>
          <w:color w:val="244061" w:themeColor="accent1" w:themeShade="80"/>
          <w:sz w:val="32"/>
          <w:szCs w:val="32"/>
        </w:rPr>
      </w:pPr>
      <w:r w:rsidRPr="004B0A9F">
        <w:rPr>
          <w:b/>
          <w:caps/>
          <w:color w:val="244061" w:themeColor="accent1" w:themeShade="80"/>
          <w:sz w:val="32"/>
          <w:szCs w:val="32"/>
        </w:rPr>
        <w:t>Verbale sintetico delle attività svolte in azienda</w:t>
      </w:r>
    </w:p>
    <w:p w:rsidR="000D1339" w:rsidRDefault="000D1339" w:rsidP="000D1339">
      <w:pPr>
        <w:pStyle w:val="Paragrafoelenco"/>
        <w:spacing w:line="240" w:lineRule="auto"/>
        <w:ind w:left="0"/>
        <w:jc w:val="center"/>
        <w:rPr>
          <w:b/>
          <w:caps/>
          <w:color w:val="244061" w:themeColor="accent1" w:themeShade="80"/>
          <w:sz w:val="28"/>
          <w:szCs w:val="28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center"/>
        <w:rPr>
          <w:b/>
          <w:caps/>
          <w:color w:val="244061" w:themeColor="accent1" w:themeShade="80"/>
          <w:sz w:val="28"/>
          <w:szCs w:val="28"/>
        </w:rPr>
      </w:pPr>
    </w:p>
    <w:p w:rsidR="000D1339" w:rsidRPr="004B0A9F" w:rsidRDefault="000D1339" w:rsidP="000D1339">
      <w:pPr>
        <w:pStyle w:val="Paragrafoelenco"/>
        <w:spacing w:line="240" w:lineRule="auto"/>
        <w:ind w:left="0"/>
        <w:rPr>
          <w:b/>
          <w:caps/>
          <w:sz w:val="24"/>
          <w:szCs w:val="24"/>
        </w:rPr>
      </w:pPr>
      <w:r w:rsidRPr="004B0A9F">
        <w:rPr>
          <w:b/>
          <w:caps/>
          <w:sz w:val="24"/>
          <w:szCs w:val="24"/>
        </w:rPr>
        <w:t>Azienda: ……………………….</w:t>
      </w:r>
    </w:p>
    <w:p w:rsidR="000D1339" w:rsidRDefault="000D1339" w:rsidP="000D1339">
      <w:pPr>
        <w:pStyle w:val="Paragrafoelenco"/>
        <w:spacing w:line="240" w:lineRule="auto"/>
        <w:ind w:left="0"/>
        <w:jc w:val="center"/>
        <w:rPr>
          <w:b/>
          <w:caps/>
          <w:color w:val="244061" w:themeColor="accent1" w:themeShade="80"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8677"/>
      </w:tblGrid>
      <w:tr w:rsidR="000D1339" w:rsidTr="00887FE8">
        <w:tc>
          <w:tcPr>
            <w:tcW w:w="851" w:type="dxa"/>
          </w:tcPr>
          <w:p w:rsidR="000D1339" w:rsidRDefault="000D1339" w:rsidP="00887FE8">
            <w:pPr>
              <w:pStyle w:val="Paragrafoelenco"/>
              <w:ind w:left="0"/>
              <w:jc w:val="center"/>
              <w:rPr>
                <w:b/>
                <w:cap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819" w:type="dxa"/>
          </w:tcPr>
          <w:p w:rsidR="000D1339" w:rsidRPr="001B5FE6" w:rsidRDefault="000D1339" w:rsidP="00887FE8">
            <w:pPr>
              <w:pStyle w:val="Paragrafoelenco"/>
              <w:ind w:left="0"/>
              <w:jc w:val="center"/>
              <w:rPr>
                <w:b/>
                <w:caps/>
                <w:sz w:val="24"/>
                <w:szCs w:val="24"/>
              </w:rPr>
            </w:pPr>
            <w:r w:rsidRPr="001B5FE6">
              <w:rPr>
                <w:b/>
                <w:caps/>
                <w:sz w:val="24"/>
                <w:szCs w:val="24"/>
              </w:rPr>
              <w:t>attività svolta</w:t>
            </w:r>
          </w:p>
        </w:tc>
      </w:tr>
      <w:tr w:rsidR="000D1339" w:rsidTr="00887FE8">
        <w:tc>
          <w:tcPr>
            <w:tcW w:w="851" w:type="dxa"/>
            <w:vAlign w:val="center"/>
          </w:tcPr>
          <w:p w:rsidR="000D1339" w:rsidRDefault="000D1339" w:rsidP="00887FE8">
            <w:pPr>
              <w:pStyle w:val="Paragrafoelenco"/>
              <w:ind w:left="0"/>
              <w:jc w:val="center"/>
              <w:rPr>
                <w:b/>
                <w:caps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aps/>
                <w:color w:val="244061" w:themeColor="accent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8819" w:type="dxa"/>
            <w:vAlign w:val="center"/>
          </w:tcPr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  <w:p w:rsidR="000D1339" w:rsidRDefault="000D1339" w:rsidP="00887FE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Illustrazione delle modalità seguite nella valutazione dei rischi</w:t>
            </w:r>
          </w:p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</w:tr>
      <w:tr w:rsidR="000D1339" w:rsidTr="00887FE8">
        <w:tc>
          <w:tcPr>
            <w:tcW w:w="851" w:type="dxa"/>
            <w:vAlign w:val="center"/>
          </w:tcPr>
          <w:p w:rsidR="000D1339" w:rsidRDefault="000D1339" w:rsidP="00887FE8">
            <w:pPr>
              <w:pStyle w:val="Paragrafoelenco"/>
              <w:ind w:left="0"/>
              <w:jc w:val="center"/>
              <w:rPr>
                <w:b/>
                <w:caps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aps/>
                <w:color w:val="244061" w:themeColor="accent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8819" w:type="dxa"/>
            <w:vAlign w:val="center"/>
          </w:tcPr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  <w:p w:rsidR="000D1339" w:rsidRDefault="000D1339" w:rsidP="00887FE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Illustrazione dei rischi specifici oggetto di valutazione</w:t>
            </w:r>
          </w:p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</w:tr>
      <w:tr w:rsidR="000D1339" w:rsidTr="00887FE8">
        <w:tc>
          <w:tcPr>
            <w:tcW w:w="851" w:type="dxa"/>
            <w:vAlign w:val="center"/>
          </w:tcPr>
          <w:p w:rsidR="000D1339" w:rsidRDefault="000D1339" w:rsidP="00887FE8">
            <w:pPr>
              <w:pStyle w:val="Paragrafoelenco"/>
              <w:ind w:left="0"/>
              <w:jc w:val="center"/>
              <w:rPr>
                <w:b/>
                <w:caps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aps/>
                <w:color w:val="244061" w:themeColor="accent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8819" w:type="dxa"/>
            <w:vAlign w:val="center"/>
          </w:tcPr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  <w:p w:rsidR="000D1339" w:rsidRDefault="000D1339" w:rsidP="00887FE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Illustrazione delle misure di prevenzione protezione adottate</w:t>
            </w:r>
          </w:p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</w:tr>
      <w:tr w:rsidR="000D1339" w:rsidTr="00887FE8">
        <w:tc>
          <w:tcPr>
            <w:tcW w:w="851" w:type="dxa"/>
            <w:vAlign w:val="center"/>
          </w:tcPr>
          <w:p w:rsidR="000D1339" w:rsidRDefault="000D1339" w:rsidP="00887FE8">
            <w:pPr>
              <w:pStyle w:val="Paragrafoelenco"/>
              <w:ind w:left="0"/>
              <w:jc w:val="center"/>
              <w:rPr>
                <w:b/>
                <w:caps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aps/>
                <w:color w:val="244061" w:themeColor="accent1" w:themeShade="80"/>
                <w:sz w:val="28"/>
                <w:szCs w:val="28"/>
              </w:rPr>
              <w:sym w:font="Wingdings" w:char="F06F"/>
            </w:r>
          </w:p>
        </w:tc>
        <w:tc>
          <w:tcPr>
            <w:tcW w:w="8819" w:type="dxa"/>
            <w:vAlign w:val="center"/>
          </w:tcPr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  <w:p w:rsidR="000D1339" w:rsidRDefault="000D1339" w:rsidP="00887FE8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Compilazione della Check list</w:t>
            </w:r>
          </w:p>
          <w:p w:rsidR="000D1339" w:rsidRPr="001B5FE6" w:rsidRDefault="000D1339" w:rsidP="00887FE8">
            <w:pPr>
              <w:pStyle w:val="Paragrafoelenco"/>
              <w:ind w:left="0"/>
              <w:rPr>
                <w:sz w:val="6"/>
                <w:szCs w:val="6"/>
              </w:rPr>
            </w:pPr>
          </w:p>
        </w:tc>
      </w:tr>
    </w:tbl>
    <w:p w:rsidR="000D1339" w:rsidRDefault="000D1339" w:rsidP="000D1339">
      <w:pPr>
        <w:pStyle w:val="Paragrafoelenco"/>
        <w:spacing w:line="240" w:lineRule="auto"/>
        <w:ind w:left="0"/>
        <w:jc w:val="center"/>
        <w:rPr>
          <w:b/>
          <w:caps/>
          <w:color w:val="244061" w:themeColor="accent1" w:themeShade="80"/>
          <w:sz w:val="28"/>
          <w:szCs w:val="28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center"/>
        <w:rPr>
          <w:b/>
          <w:caps/>
          <w:color w:val="244061" w:themeColor="accent1" w:themeShade="80"/>
          <w:sz w:val="28"/>
          <w:szCs w:val="28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center"/>
        <w:rPr>
          <w:b/>
          <w:caps/>
          <w:color w:val="244061" w:themeColor="accent1" w:themeShade="80"/>
          <w:sz w:val="28"/>
          <w:szCs w:val="28"/>
        </w:rPr>
      </w:pPr>
    </w:p>
    <w:p w:rsidR="000D1339" w:rsidRPr="00D309D5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  <w:r w:rsidRPr="00D309D5">
        <w:rPr>
          <w:sz w:val="24"/>
          <w:szCs w:val="24"/>
        </w:rPr>
        <w:t>Data: ……….</w:t>
      </w:r>
    </w:p>
    <w:p w:rsidR="000D1339" w:rsidRDefault="000D1339" w:rsidP="000D1339">
      <w:pPr>
        <w:pStyle w:val="Paragrafoelenco"/>
        <w:spacing w:line="240" w:lineRule="auto"/>
        <w:ind w:left="0"/>
        <w:jc w:val="center"/>
        <w:rPr>
          <w:sz w:val="24"/>
          <w:szCs w:val="24"/>
        </w:rPr>
      </w:pPr>
    </w:p>
    <w:p w:rsidR="000D1339" w:rsidRPr="00D309D5" w:rsidRDefault="000D1339" w:rsidP="000D1339">
      <w:pPr>
        <w:pStyle w:val="Paragrafoelenco"/>
        <w:spacing w:line="240" w:lineRule="auto"/>
        <w:ind w:left="0"/>
        <w:jc w:val="center"/>
        <w:rPr>
          <w:sz w:val="24"/>
          <w:szCs w:val="24"/>
        </w:rPr>
      </w:pPr>
    </w:p>
    <w:p w:rsidR="000D1339" w:rsidRPr="00D309D5" w:rsidRDefault="000D1339" w:rsidP="000D1339">
      <w:pPr>
        <w:pStyle w:val="Paragrafoelenco"/>
        <w:spacing w:line="240" w:lineRule="auto"/>
        <w:ind w:left="0"/>
        <w:jc w:val="center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D309D5">
        <w:rPr>
          <w:sz w:val="24"/>
          <w:szCs w:val="24"/>
        </w:rPr>
        <w:t>Firma datore di lavoro</w:t>
      </w:r>
      <w:r>
        <w:rPr>
          <w:sz w:val="24"/>
          <w:szCs w:val="24"/>
        </w:rPr>
        <w:t xml:space="preserve"> (o suo delegato): …………………………………………………………………………………………</w:t>
      </w:r>
    </w:p>
    <w:p w:rsidR="000D1339" w:rsidRPr="001B5FE6" w:rsidRDefault="000D1339" w:rsidP="000D1339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RSPP </w:t>
      </w:r>
      <w:r w:rsidRPr="001B5FE6">
        <w:rPr>
          <w:i/>
          <w:sz w:val="24"/>
          <w:szCs w:val="24"/>
        </w:rPr>
        <w:t>(eventuale)</w:t>
      </w:r>
      <w:r>
        <w:rPr>
          <w:sz w:val="24"/>
          <w:szCs w:val="24"/>
        </w:rPr>
        <w:t>: ………………………………………………………………………………………………………………….</w:t>
      </w:r>
    </w:p>
    <w:p w:rsidR="000D1339" w:rsidRDefault="000D1339" w:rsidP="000D1339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Firma RLS: ……………………………………………………………………………………………………………………………………….</w:t>
      </w: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p w:rsidR="000D1339" w:rsidRDefault="000D1339" w:rsidP="000D1339">
      <w:pPr>
        <w:pStyle w:val="Paragrafoelenco"/>
        <w:spacing w:line="240" w:lineRule="auto"/>
        <w:ind w:left="0"/>
        <w:jc w:val="both"/>
        <w:rPr>
          <w:sz w:val="24"/>
          <w:szCs w:val="24"/>
        </w:rPr>
      </w:pPr>
    </w:p>
    <w:sectPr w:rsidR="000D1339" w:rsidSect="000D133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6F" w:rsidRDefault="007F436F" w:rsidP="0067047F">
      <w:pPr>
        <w:spacing w:after="0" w:line="240" w:lineRule="auto"/>
      </w:pPr>
      <w:r>
        <w:separator/>
      </w:r>
    </w:p>
  </w:endnote>
  <w:endnote w:type="continuationSeparator" w:id="0">
    <w:p w:rsidR="007F436F" w:rsidRDefault="007F436F" w:rsidP="006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6F" w:rsidRDefault="007F436F" w:rsidP="0067047F">
      <w:pPr>
        <w:spacing w:after="0" w:line="240" w:lineRule="auto"/>
      </w:pPr>
      <w:r>
        <w:separator/>
      </w:r>
    </w:p>
  </w:footnote>
  <w:footnote w:type="continuationSeparator" w:id="0">
    <w:p w:rsidR="007F436F" w:rsidRDefault="007F436F" w:rsidP="0067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F2E"/>
    <w:multiLevelType w:val="hybridMultilevel"/>
    <w:tmpl w:val="EEDA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632F5"/>
    <w:multiLevelType w:val="hybridMultilevel"/>
    <w:tmpl w:val="3754F57A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8578A7"/>
    <w:multiLevelType w:val="hybridMultilevel"/>
    <w:tmpl w:val="E2C663EA"/>
    <w:lvl w:ilvl="0" w:tplc="1F788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420"/>
    <w:multiLevelType w:val="hybridMultilevel"/>
    <w:tmpl w:val="D2A80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3656D"/>
    <w:multiLevelType w:val="hybridMultilevel"/>
    <w:tmpl w:val="6D98C1BA"/>
    <w:lvl w:ilvl="0" w:tplc="7C94CA54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1E716C"/>
    <w:multiLevelType w:val="hybridMultilevel"/>
    <w:tmpl w:val="D5C80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D1D34"/>
    <w:multiLevelType w:val="hybridMultilevel"/>
    <w:tmpl w:val="21D41F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3510B"/>
    <w:multiLevelType w:val="hybridMultilevel"/>
    <w:tmpl w:val="9A52BA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01B72"/>
    <w:multiLevelType w:val="hybridMultilevel"/>
    <w:tmpl w:val="F646A432"/>
    <w:lvl w:ilvl="0" w:tplc="7C94CA54">
      <w:start w:val="1"/>
      <w:numFmt w:val="bullet"/>
      <w:lvlText w:val=""/>
      <w:lvlJc w:val="left"/>
      <w:pPr>
        <w:ind w:left="1724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27F7AB9"/>
    <w:multiLevelType w:val="hybridMultilevel"/>
    <w:tmpl w:val="97922B72"/>
    <w:lvl w:ilvl="0" w:tplc="1F7886C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B216E6"/>
    <w:multiLevelType w:val="hybridMultilevel"/>
    <w:tmpl w:val="4D76FD4A"/>
    <w:lvl w:ilvl="0" w:tplc="0410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C65AD"/>
    <w:multiLevelType w:val="hybridMultilevel"/>
    <w:tmpl w:val="B77C9BE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73BE5"/>
    <w:multiLevelType w:val="hybridMultilevel"/>
    <w:tmpl w:val="F876489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D2A63"/>
    <w:multiLevelType w:val="hybridMultilevel"/>
    <w:tmpl w:val="E3249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01F95"/>
    <w:multiLevelType w:val="hybridMultilevel"/>
    <w:tmpl w:val="7DFE0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5B252C"/>
    <w:multiLevelType w:val="hybridMultilevel"/>
    <w:tmpl w:val="8316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A50C5"/>
    <w:multiLevelType w:val="hybridMultilevel"/>
    <w:tmpl w:val="C0702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C2579"/>
    <w:multiLevelType w:val="hybridMultilevel"/>
    <w:tmpl w:val="97783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0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7F"/>
    <w:rsid w:val="00060F1F"/>
    <w:rsid w:val="00094C80"/>
    <w:rsid w:val="000C25E1"/>
    <w:rsid w:val="000C2F24"/>
    <w:rsid w:val="000D1339"/>
    <w:rsid w:val="000F1892"/>
    <w:rsid w:val="00123EAA"/>
    <w:rsid w:val="00135926"/>
    <w:rsid w:val="00144592"/>
    <w:rsid w:val="00173BF0"/>
    <w:rsid w:val="00190026"/>
    <w:rsid w:val="0019672C"/>
    <w:rsid w:val="00197A82"/>
    <w:rsid w:val="001A22AC"/>
    <w:rsid w:val="001D0B43"/>
    <w:rsid w:val="001F07B3"/>
    <w:rsid w:val="001F33E9"/>
    <w:rsid w:val="002066B0"/>
    <w:rsid w:val="00253984"/>
    <w:rsid w:val="002C3ACC"/>
    <w:rsid w:val="002E1186"/>
    <w:rsid w:val="002F7BCA"/>
    <w:rsid w:val="003750C7"/>
    <w:rsid w:val="003E1E53"/>
    <w:rsid w:val="003F7A8F"/>
    <w:rsid w:val="00431E0F"/>
    <w:rsid w:val="00437540"/>
    <w:rsid w:val="00443E96"/>
    <w:rsid w:val="004527E4"/>
    <w:rsid w:val="004D2DBB"/>
    <w:rsid w:val="004F0F41"/>
    <w:rsid w:val="005215E6"/>
    <w:rsid w:val="00541F43"/>
    <w:rsid w:val="00551613"/>
    <w:rsid w:val="00551710"/>
    <w:rsid w:val="00567714"/>
    <w:rsid w:val="00581C3F"/>
    <w:rsid w:val="005F2C94"/>
    <w:rsid w:val="005F5FA4"/>
    <w:rsid w:val="00607EAB"/>
    <w:rsid w:val="00655019"/>
    <w:rsid w:val="0067047F"/>
    <w:rsid w:val="006757BC"/>
    <w:rsid w:val="00691BA1"/>
    <w:rsid w:val="006B2DAC"/>
    <w:rsid w:val="006B4E18"/>
    <w:rsid w:val="006D6963"/>
    <w:rsid w:val="006E4B87"/>
    <w:rsid w:val="00710FCA"/>
    <w:rsid w:val="0071592F"/>
    <w:rsid w:val="00717632"/>
    <w:rsid w:val="0072481A"/>
    <w:rsid w:val="00761530"/>
    <w:rsid w:val="00780B04"/>
    <w:rsid w:val="007931D8"/>
    <w:rsid w:val="007D0EFD"/>
    <w:rsid w:val="007F436F"/>
    <w:rsid w:val="007F613D"/>
    <w:rsid w:val="00805AF4"/>
    <w:rsid w:val="00837AB8"/>
    <w:rsid w:val="00845438"/>
    <w:rsid w:val="00861E26"/>
    <w:rsid w:val="00887FE8"/>
    <w:rsid w:val="00895E9A"/>
    <w:rsid w:val="008B186D"/>
    <w:rsid w:val="008C1931"/>
    <w:rsid w:val="008C7BDA"/>
    <w:rsid w:val="008D751D"/>
    <w:rsid w:val="00917168"/>
    <w:rsid w:val="00935974"/>
    <w:rsid w:val="00941EC5"/>
    <w:rsid w:val="009518DB"/>
    <w:rsid w:val="009A565A"/>
    <w:rsid w:val="00A30C22"/>
    <w:rsid w:val="00A449A0"/>
    <w:rsid w:val="00A5440E"/>
    <w:rsid w:val="00A56DEA"/>
    <w:rsid w:val="00A77228"/>
    <w:rsid w:val="00A87CA7"/>
    <w:rsid w:val="00AA3F9F"/>
    <w:rsid w:val="00AE1ED4"/>
    <w:rsid w:val="00AE1EE1"/>
    <w:rsid w:val="00AE7DDF"/>
    <w:rsid w:val="00AF6427"/>
    <w:rsid w:val="00B935A7"/>
    <w:rsid w:val="00BC22BF"/>
    <w:rsid w:val="00BE298C"/>
    <w:rsid w:val="00C10C93"/>
    <w:rsid w:val="00C20213"/>
    <w:rsid w:val="00C34D69"/>
    <w:rsid w:val="00C45212"/>
    <w:rsid w:val="00C750BD"/>
    <w:rsid w:val="00C96EEA"/>
    <w:rsid w:val="00CB585B"/>
    <w:rsid w:val="00CD7227"/>
    <w:rsid w:val="00CE5296"/>
    <w:rsid w:val="00D1178A"/>
    <w:rsid w:val="00DB4135"/>
    <w:rsid w:val="00DB68C5"/>
    <w:rsid w:val="00DF28E8"/>
    <w:rsid w:val="00E045D5"/>
    <w:rsid w:val="00E109F8"/>
    <w:rsid w:val="00E6009F"/>
    <w:rsid w:val="00E82DC5"/>
    <w:rsid w:val="00EE6C56"/>
    <w:rsid w:val="00EF21D6"/>
    <w:rsid w:val="00F15C8F"/>
    <w:rsid w:val="00F36B0B"/>
    <w:rsid w:val="00F465BE"/>
    <w:rsid w:val="00F726B6"/>
    <w:rsid w:val="00FB10C9"/>
    <w:rsid w:val="00FC05C2"/>
    <w:rsid w:val="00FC4A68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04]"/>
    </o:shapedefaults>
    <o:shapelayout v:ext="edit">
      <o:idmap v:ext="edit" data="1"/>
    </o:shapelayout>
  </w:shapeDefaults>
  <w:decimalSymbol w:val=","/>
  <w:listSeparator w:val=";"/>
  <w15:docId w15:val="{72D0F6FD-09D8-4CAD-B71A-4952E37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70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7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04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7047F"/>
    <w:pPr>
      <w:ind w:left="720"/>
      <w:contextualSpacing/>
    </w:pPr>
  </w:style>
  <w:style w:type="paragraph" w:customStyle="1" w:styleId="Default">
    <w:name w:val="Default"/>
    <w:rsid w:val="00670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7047F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59"/>
    <w:rsid w:val="0067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1E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5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D4C2-B054-42FB-AD40-8D5DE65D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r.rinaldi</dc:creator>
  <cp:lastModifiedBy>Rinaudo Monica (Unione Industriale Cuneo)</cp:lastModifiedBy>
  <cp:revision>3</cp:revision>
  <cp:lastPrinted>2017-06-19T15:15:00Z</cp:lastPrinted>
  <dcterms:created xsi:type="dcterms:W3CDTF">2017-08-03T14:04:00Z</dcterms:created>
  <dcterms:modified xsi:type="dcterms:W3CDTF">2017-08-03T14:13:00Z</dcterms:modified>
</cp:coreProperties>
</file>